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181" w:rsidRPr="00191803" w:rsidRDefault="00D67181" w:rsidP="003A1429">
      <w:pPr>
        <w:rPr>
          <w:rFonts w:eastAsia="Times New Roman" w:cs="Arial"/>
          <w:b/>
          <w:bCs/>
          <w:iCs/>
          <w:sz w:val="32"/>
          <w:szCs w:val="32"/>
          <w:lang w:val="en-US" w:eastAsia="da-DK"/>
        </w:rPr>
      </w:pPr>
      <w:bookmarkStart w:id="0" w:name="_Toc256170257"/>
      <w:r w:rsidRPr="00191803">
        <w:rPr>
          <w:rFonts w:eastAsia="Times New Roman" w:cs="Arial"/>
          <w:b/>
          <w:bCs/>
          <w:iCs/>
          <w:sz w:val="32"/>
          <w:szCs w:val="32"/>
          <w:lang w:val="en-US" w:eastAsia="da-DK"/>
        </w:rPr>
        <w:t>Suggested solution regarding the question “Should the Management and Translation Guidelines be converted into IHTSDO standards?</w:t>
      </w:r>
    </w:p>
    <w:p w:rsidR="00191803" w:rsidRDefault="00191803" w:rsidP="003A1429">
      <w:pPr>
        <w:rPr>
          <w:rFonts w:eastAsia="Times New Roman" w:cs="Arial"/>
          <w:bCs/>
          <w:iCs/>
          <w:lang w:val="en-US" w:eastAsia="da-DK"/>
        </w:rPr>
      </w:pPr>
    </w:p>
    <w:p w:rsidR="009818C0" w:rsidRDefault="00074FFB" w:rsidP="003A1429">
      <w:pPr>
        <w:rPr>
          <w:rFonts w:eastAsia="Times New Roman" w:cs="Arial"/>
          <w:bCs/>
          <w:iCs/>
          <w:lang w:val="en-US" w:eastAsia="da-DK"/>
        </w:rPr>
      </w:pPr>
      <w:r>
        <w:rPr>
          <w:rFonts w:eastAsia="Times New Roman" w:cs="Arial"/>
          <w:bCs/>
          <w:iCs/>
          <w:lang w:val="en-US" w:eastAsia="da-DK"/>
        </w:rPr>
        <w:t>The Translation SIG had been asked to consider the question of standard</w:t>
      </w:r>
      <w:r w:rsidR="00191803">
        <w:rPr>
          <w:rFonts w:eastAsia="Times New Roman" w:cs="Arial"/>
          <w:bCs/>
          <w:iCs/>
          <w:lang w:val="en-US" w:eastAsia="da-DK"/>
        </w:rPr>
        <w:t>s</w:t>
      </w:r>
      <w:r>
        <w:rPr>
          <w:rFonts w:eastAsia="Times New Roman" w:cs="Arial"/>
          <w:bCs/>
          <w:iCs/>
          <w:lang w:val="en-US" w:eastAsia="da-DK"/>
        </w:rPr>
        <w:t xml:space="preserve"> again</w:t>
      </w:r>
      <w:r w:rsidR="00191803">
        <w:rPr>
          <w:rFonts w:eastAsia="Times New Roman" w:cs="Arial"/>
          <w:bCs/>
          <w:iCs/>
          <w:lang w:val="en-US" w:eastAsia="da-DK"/>
        </w:rPr>
        <w:t xml:space="preserve"> at the meeting in Toronto on 17</w:t>
      </w:r>
      <w:r w:rsidR="00191803" w:rsidRPr="009818C0">
        <w:rPr>
          <w:rFonts w:eastAsia="Times New Roman" w:cs="Arial"/>
          <w:bCs/>
          <w:iCs/>
          <w:vertAlign w:val="superscript"/>
          <w:lang w:val="en-US" w:eastAsia="da-DK"/>
        </w:rPr>
        <w:t>th</w:t>
      </w:r>
      <w:r w:rsidR="00191803">
        <w:rPr>
          <w:rFonts w:eastAsia="Times New Roman" w:cs="Arial"/>
          <w:bCs/>
          <w:iCs/>
          <w:lang w:val="en-US" w:eastAsia="da-DK"/>
        </w:rPr>
        <w:t xml:space="preserve"> October. As an introduction to this discussion</w:t>
      </w:r>
      <w:r w:rsidR="00D67181">
        <w:rPr>
          <w:rFonts w:eastAsia="Times New Roman" w:cs="Arial"/>
          <w:bCs/>
          <w:iCs/>
          <w:lang w:val="en-US" w:eastAsia="da-DK"/>
        </w:rPr>
        <w:t xml:space="preserve">, the </w:t>
      </w:r>
      <w:r w:rsidR="009818C0">
        <w:rPr>
          <w:rFonts w:eastAsia="Times New Roman" w:cs="Arial"/>
          <w:bCs/>
          <w:iCs/>
          <w:lang w:val="en-US" w:eastAsia="da-DK"/>
        </w:rPr>
        <w:t xml:space="preserve">undersigned presented to the rest of the group the quality assurance work </w:t>
      </w:r>
      <w:r w:rsidR="00B45D6C">
        <w:rPr>
          <w:rFonts w:eastAsia="Times New Roman" w:cs="Arial"/>
          <w:bCs/>
          <w:iCs/>
          <w:lang w:val="en-US" w:eastAsia="da-DK"/>
        </w:rPr>
        <w:t xml:space="preserve">carried out this summer that resulted in the IHTSDO document </w:t>
      </w:r>
      <w:r w:rsidR="00B45D6C" w:rsidRPr="00FE3880">
        <w:rPr>
          <w:lang w:val="en-US" w:eastAsia="da-DK"/>
        </w:rPr>
        <w:t>“A methodology and toolkit for evaluating SNOMED CT® translation quality”</w:t>
      </w:r>
      <w:r w:rsidR="0027717F">
        <w:rPr>
          <w:lang w:val="en-US" w:eastAsia="da-DK"/>
        </w:rPr>
        <w:t xml:space="preserve"> (referred to </w:t>
      </w:r>
      <w:r w:rsidR="00191803">
        <w:rPr>
          <w:lang w:val="en-US" w:eastAsia="da-DK"/>
        </w:rPr>
        <w:t xml:space="preserve">below </w:t>
      </w:r>
      <w:r w:rsidR="0027717F">
        <w:rPr>
          <w:lang w:val="en-US" w:eastAsia="da-DK"/>
        </w:rPr>
        <w:t>as the AQ Toolkit)</w:t>
      </w:r>
      <w:r w:rsidR="00B45D6C">
        <w:rPr>
          <w:rFonts w:eastAsia="Times New Roman" w:cs="Arial"/>
          <w:bCs/>
          <w:iCs/>
          <w:lang w:val="en-US" w:eastAsia="da-DK"/>
        </w:rPr>
        <w:t>.</w:t>
      </w:r>
      <w:r w:rsidR="00D67181">
        <w:rPr>
          <w:rFonts w:eastAsia="Times New Roman" w:cs="Arial"/>
          <w:bCs/>
          <w:iCs/>
          <w:lang w:val="en-US" w:eastAsia="da-DK"/>
        </w:rPr>
        <w:t xml:space="preserve"> </w:t>
      </w:r>
      <w:r>
        <w:rPr>
          <w:rFonts w:eastAsia="Times New Roman" w:cs="Arial"/>
          <w:bCs/>
          <w:iCs/>
          <w:lang w:val="en-US" w:eastAsia="da-DK"/>
        </w:rPr>
        <w:t>The heading of this PP-presentation was “</w:t>
      </w:r>
      <w:r w:rsidRPr="009818C0">
        <w:rPr>
          <w:rFonts w:eastAsia="Times New Roman" w:cs="Arial"/>
          <w:bCs/>
          <w:iCs/>
          <w:lang w:val="en-US" w:eastAsia="da-DK"/>
        </w:rPr>
        <w:t>Should the Management and Translation Guidelines be converted into IHTSDO standards?</w:t>
      </w:r>
      <w:r>
        <w:rPr>
          <w:rFonts w:eastAsia="Times New Roman" w:cs="Arial"/>
          <w:bCs/>
          <w:iCs/>
          <w:lang w:val="en-US" w:eastAsia="da-DK"/>
        </w:rPr>
        <w:t>”</w:t>
      </w:r>
    </w:p>
    <w:p w:rsidR="00213EE8" w:rsidRDefault="003A1429" w:rsidP="003A1429">
      <w:pPr>
        <w:rPr>
          <w:lang w:val="en-US" w:eastAsia="da-DK"/>
        </w:rPr>
      </w:pPr>
      <w:r w:rsidRPr="003A1429">
        <w:rPr>
          <w:rFonts w:eastAsia="Times New Roman" w:cs="Arial"/>
          <w:bCs/>
          <w:iCs/>
          <w:lang w:val="en-US" w:eastAsia="da-DK"/>
        </w:rPr>
        <w:t>After discussion</w:t>
      </w:r>
      <w:r w:rsidR="009818C0">
        <w:rPr>
          <w:rFonts w:eastAsia="Times New Roman" w:cs="Arial"/>
          <w:bCs/>
          <w:iCs/>
          <w:lang w:val="en-US" w:eastAsia="da-DK"/>
        </w:rPr>
        <w:t>s</w:t>
      </w:r>
      <w:r w:rsidRPr="003A1429">
        <w:rPr>
          <w:rFonts w:eastAsia="Times New Roman" w:cs="Arial"/>
          <w:bCs/>
          <w:iCs/>
          <w:lang w:val="en-US" w:eastAsia="da-DK"/>
        </w:rPr>
        <w:t xml:space="preserve"> in the Translation SIG, </w:t>
      </w:r>
      <w:r>
        <w:rPr>
          <w:rFonts w:eastAsia="Times New Roman" w:cs="Arial"/>
          <w:bCs/>
          <w:iCs/>
          <w:lang w:val="en-US" w:eastAsia="da-DK"/>
        </w:rPr>
        <w:t xml:space="preserve">it was decided to opt for a solution similar to the fourth suggestion on slide no. 20 of </w:t>
      </w:r>
      <w:r w:rsidR="00213EE8">
        <w:rPr>
          <w:rFonts w:eastAsia="Times New Roman" w:cs="Arial"/>
          <w:bCs/>
          <w:iCs/>
          <w:lang w:val="en-US" w:eastAsia="da-DK"/>
        </w:rPr>
        <w:t>the</w:t>
      </w:r>
      <w:r>
        <w:rPr>
          <w:rFonts w:eastAsia="Times New Roman" w:cs="Arial"/>
          <w:bCs/>
          <w:iCs/>
          <w:lang w:val="en-US" w:eastAsia="da-DK"/>
        </w:rPr>
        <w:t xml:space="preserve"> PP-presentation</w:t>
      </w:r>
      <w:r w:rsidR="00074FFB">
        <w:rPr>
          <w:rFonts w:eastAsia="Times New Roman" w:cs="Arial"/>
          <w:bCs/>
          <w:iCs/>
          <w:lang w:val="en-US" w:eastAsia="da-DK"/>
        </w:rPr>
        <w:t>.</w:t>
      </w:r>
      <w:r>
        <w:rPr>
          <w:rFonts w:eastAsia="Times New Roman" w:cs="Arial"/>
          <w:bCs/>
          <w:iCs/>
          <w:lang w:val="en-US" w:eastAsia="da-DK"/>
        </w:rPr>
        <w:t xml:space="preserve"> Instead of aiming for a fixed standard that would raise some of the disadvantages and problems described on slide 19, it was decided to suggest the introduction of a new concept: </w:t>
      </w:r>
      <w:r w:rsidRPr="00191803">
        <w:rPr>
          <w:rFonts w:eastAsia="Times New Roman" w:cs="Arial"/>
          <w:b/>
          <w:bCs/>
          <w:iCs/>
          <w:lang w:val="en-US" w:eastAsia="da-DK"/>
        </w:rPr>
        <w:t>Translation Gold Standard</w:t>
      </w:r>
      <w:r>
        <w:rPr>
          <w:rFonts w:eastAsia="Times New Roman" w:cs="Arial"/>
          <w:bCs/>
          <w:iCs/>
          <w:lang w:val="en-US" w:eastAsia="da-DK"/>
        </w:rPr>
        <w:t xml:space="preserve">.  </w:t>
      </w:r>
      <w:r w:rsidR="009818C0">
        <w:rPr>
          <w:rFonts w:eastAsia="Times New Roman" w:cs="Arial"/>
          <w:bCs/>
          <w:iCs/>
          <w:lang w:val="en-US" w:eastAsia="da-DK"/>
        </w:rPr>
        <w:t xml:space="preserve">Such a </w:t>
      </w:r>
      <w:r w:rsidR="003223CC">
        <w:rPr>
          <w:rFonts w:eastAsia="Times New Roman" w:cs="Arial"/>
          <w:bCs/>
          <w:iCs/>
          <w:lang w:val="en-US" w:eastAsia="da-DK"/>
        </w:rPr>
        <w:t xml:space="preserve">Gold Standard </w:t>
      </w:r>
      <w:r w:rsidR="009818C0">
        <w:rPr>
          <w:rFonts w:eastAsia="Times New Roman" w:cs="Arial"/>
          <w:bCs/>
          <w:iCs/>
          <w:lang w:val="en-US" w:eastAsia="da-DK"/>
        </w:rPr>
        <w:t>would reflect</w:t>
      </w:r>
      <w:r w:rsidR="003223CC">
        <w:rPr>
          <w:rFonts w:eastAsia="Times New Roman" w:cs="Arial"/>
          <w:bCs/>
          <w:iCs/>
          <w:lang w:val="en-US" w:eastAsia="da-DK"/>
        </w:rPr>
        <w:t xml:space="preserve"> th</w:t>
      </w:r>
      <w:r w:rsidR="009818C0">
        <w:rPr>
          <w:rFonts w:eastAsia="Times New Roman" w:cs="Arial"/>
          <w:bCs/>
          <w:iCs/>
          <w:lang w:val="en-US" w:eastAsia="da-DK"/>
        </w:rPr>
        <w:t>e</w:t>
      </w:r>
      <w:r w:rsidR="003223CC">
        <w:rPr>
          <w:rFonts w:eastAsia="Times New Roman" w:cs="Arial"/>
          <w:bCs/>
          <w:iCs/>
          <w:lang w:val="en-US" w:eastAsia="da-DK"/>
        </w:rPr>
        <w:t xml:space="preserve"> quality characteristics with their quality metrics described in </w:t>
      </w:r>
      <w:r w:rsidR="003223CC" w:rsidRPr="00FE3880">
        <w:rPr>
          <w:lang w:val="en-US" w:eastAsia="da-DK"/>
        </w:rPr>
        <w:t>“A methodology and toolkit for evaluating SNOMED CT® translation quality”</w:t>
      </w:r>
      <w:r w:rsidR="00213EE8">
        <w:rPr>
          <w:lang w:val="en-US" w:eastAsia="da-DK"/>
        </w:rPr>
        <w:t>.</w:t>
      </w:r>
      <w:r w:rsidR="0027717F">
        <w:rPr>
          <w:lang w:val="en-US" w:eastAsia="da-DK"/>
        </w:rPr>
        <w:t xml:space="preserve"> And</w:t>
      </w:r>
      <w:r w:rsidR="00074FFB">
        <w:rPr>
          <w:lang w:val="en-US" w:eastAsia="da-DK"/>
        </w:rPr>
        <w:t xml:space="preserve"> while it could be expected that Translation Project Owners would be interested in living up to such a Gold Standard, </w:t>
      </w:r>
      <w:r w:rsidR="00DD078D">
        <w:rPr>
          <w:lang w:val="en-US" w:eastAsia="da-DK"/>
        </w:rPr>
        <w:t>we would avoid a situation where they felt</w:t>
      </w:r>
      <w:r w:rsidR="00074FFB">
        <w:rPr>
          <w:lang w:val="en-US" w:eastAsia="da-DK"/>
        </w:rPr>
        <w:t xml:space="preserve"> that they were being forced to comply with requirements or rules that </w:t>
      </w:r>
      <w:r w:rsidR="0027717F">
        <w:rPr>
          <w:lang w:val="en-US" w:eastAsia="da-DK"/>
        </w:rPr>
        <w:t xml:space="preserve">were unachievable </w:t>
      </w:r>
      <w:r w:rsidR="00074FFB">
        <w:rPr>
          <w:lang w:val="en-US" w:eastAsia="da-DK"/>
        </w:rPr>
        <w:t xml:space="preserve">for a variety of reasons. </w:t>
      </w:r>
      <w:r w:rsidR="009818C0">
        <w:rPr>
          <w:lang w:val="en-US" w:eastAsia="da-DK"/>
        </w:rPr>
        <w:t>I</w:t>
      </w:r>
      <w:r w:rsidR="00213EE8">
        <w:rPr>
          <w:lang w:val="en-US" w:eastAsia="da-DK"/>
        </w:rPr>
        <w:t xml:space="preserve">t was suggested that a text </w:t>
      </w:r>
      <w:r w:rsidR="009818C0">
        <w:rPr>
          <w:lang w:val="en-US" w:eastAsia="da-DK"/>
        </w:rPr>
        <w:t>with references to th</w:t>
      </w:r>
      <w:r w:rsidR="0027717F">
        <w:rPr>
          <w:lang w:val="en-US" w:eastAsia="da-DK"/>
        </w:rPr>
        <w:t xml:space="preserve">e QA Toolkit </w:t>
      </w:r>
      <w:r w:rsidR="00213EE8">
        <w:rPr>
          <w:lang w:val="en-US" w:eastAsia="da-DK"/>
        </w:rPr>
        <w:t xml:space="preserve">be inserted in the </w:t>
      </w:r>
      <w:r w:rsidR="009818C0">
        <w:rPr>
          <w:lang w:val="en-US" w:eastAsia="da-DK"/>
        </w:rPr>
        <w:t xml:space="preserve">Guidelines for </w:t>
      </w:r>
      <w:r w:rsidR="00213EE8">
        <w:rPr>
          <w:lang w:val="en-US" w:eastAsia="da-DK"/>
        </w:rPr>
        <w:t xml:space="preserve">Translation </w:t>
      </w:r>
      <w:r w:rsidR="009818C0">
        <w:rPr>
          <w:lang w:val="en-US" w:eastAsia="da-DK"/>
        </w:rPr>
        <w:t>and the Guidelines for Management of Translation, and that a checklist for the use of the TPO be inserted in the Guidelines for Translation</w:t>
      </w:r>
      <w:r w:rsidR="00213EE8">
        <w:rPr>
          <w:lang w:val="en-US" w:eastAsia="da-DK"/>
        </w:rPr>
        <w:t>.</w:t>
      </w:r>
    </w:p>
    <w:p w:rsidR="003A1429" w:rsidRDefault="00213EE8" w:rsidP="003A1429">
      <w:pPr>
        <w:rPr>
          <w:rFonts w:eastAsia="Times New Roman" w:cs="Arial"/>
          <w:bCs/>
          <w:iCs/>
          <w:lang w:val="en-US" w:eastAsia="da-DK"/>
        </w:rPr>
      </w:pPr>
      <w:r>
        <w:rPr>
          <w:rFonts w:eastAsia="Times New Roman" w:cs="Arial"/>
          <w:bCs/>
          <w:iCs/>
          <w:lang w:val="en-US" w:eastAsia="da-DK"/>
        </w:rPr>
        <w:t xml:space="preserve">The undersigned was assigned the task to draw up suggestions for such texts. This Word-document contains </w:t>
      </w:r>
      <w:r w:rsidR="009818C0">
        <w:rPr>
          <w:rFonts w:eastAsia="Times New Roman" w:cs="Arial"/>
          <w:bCs/>
          <w:iCs/>
          <w:lang w:val="en-US" w:eastAsia="da-DK"/>
        </w:rPr>
        <w:t xml:space="preserve">the first draft of </w:t>
      </w:r>
      <w:r>
        <w:rPr>
          <w:rFonts w:eastAsia="Times New Roman" w:cs="Arial"/>
          <w:bCs/>
          <w:iCs/>
          <w:lang w:val="en-US" w:eastAsia="da-DK"/>
        </w:rPr>
        <w:t>these suggestions</w:t>
      </w:r>
      <w:r w:rsidR="0027717F">
        <w:rPr>
          <w:rFonts w:eastAsia="Times New Roman" w:cs="Arial"/>
          <w:bCs/>
          <w:iCs/>
          <w:lang w:val="en-US" w:eastAsia="da-DK"/>
        </w:rPr>
        <w:t>: “Text 1: T</w:t>
      </w:r>
      <w:r w:rsidR="0027717F" w:rsidRPr="0027717F">
        <w:rPr>
          <w:rFonts w:eastAsia="Times New Roman" w:cs="Arial"/>
          <w:bCs/>
          <w:iCs/>
          <w:lang w:val="en-US" w:eastAsia="da-DK"/>
        </w:rPr>
        <w:t>ext regarding Translation Gold Standard to be inserted in the Guidelines for Translation and the Guidelines for Management of the Translation</w:t>
      </w:r>
      <w:r w:rsidR="0027717F">
        <w:rPr>
          <w:rFonts w:eastAsia="Times New Roman" w:cs="Arial"/>
          <w:bCs/>
          <w:iCs/>
          <w:lang w:val="en-US" w:eastAsia="da-DK"/>
        </w:rPr>
        <w:t xml:space="preserve">” and “Text 2: </w:t>
      </w:r>
      <w:r w:rsidR="0027717F" w:rsidRPr="0027717F">
        <w:rPr>
          <w:rFonts w:eastAsia="Times New Roman" w:cs="Arial"/>
          <w:bCs/>
          <w:iCs/>
          <w:lang w:val="en-US" w:eastAsia="da-DK"/>
        </w:rPr>
        <w:t>Translation Gold Standard checklist</w:t>
      </w:r>
      <w:r w:rsidR="0027717F">
        <w:rPr>
          <w:rFonts w:eastAsia="Times New Roman" w:cs="Arial"/>
          <w:bCs/>
          <w:iCs/>
          <w:lang w:val="en-US" w:eastAsia="da-DK"/>
        </w:rPr>
        <w:t>”</w:t>
      </w:r>
      <w:r w:rsidR="009818C0">
        <w:rPr>
          <w:rFonts w:eastAsia="Times New Roman" w:cs="Arial"/>
          <w:bCs/>
          <w:iCs/>
          <w:lang w:val="en-US" w:eastAsia="da-DK"/>
        </w:rPr>
        <w:t xml:space="preserve">. Hopefully, we can reach a consensus on these texts, so that we may send them on to the QA Committee/MB as the </w:t>
      </w:r>
      <w:r w:rsidR="0027717F">
        <w:rPr>
          <w:rFonts w:eastAsia="Times New Roman" w:cs="Arial"/>
          <w:bCs/>
          <w:iCs/>
          <w:lang w:val="en-US" w:eastAsia="da-DK"/>
        </w:rPr>
        <w:t xml:space="preserve">official </w:t>
      </w:r>
      <w:r w:rsidR="009818C0">
        <w:rPr>
          <w:rFonts w:eastAsia="Times New Roman" w:cs="Arial"/>
          <w:bCs/>
          <w:iCs/>
          <w:lang w:val="en-US" w:eastAsia="da-DK"/>
        </w:rPr>
        <w:t>suggestion of the Translation SIG.</w:t>
      </w:r>
      <w:r w:rsidR="00B45D6C">
        <w:rPr>
          <w:rFonts w:eastAsia="Times New Roman" w:cs="Arial"/>
          <w:bCs/>
          <w:iCs/>
          <w:lang w:val="en-US" w:eastAsia="da-DK"/>
        </w:rPr>
        <w:t xml:space="preserve"> For the moment, please address your suggestions and comments to me directly; I shall decide with our chair, Jane Howarth, when we are ready to publish the final draft on the Collaborative Space.</w:t>
      </w:r>
    </w:p>
    <w:p w:rsidR="0027717F" w:rsidRDefault="00B45D6C" w:rsidP="00D67181">
      <w:pPr>
        <w:jc w:val="right"/>
        <w:rPr>
          <w:rFonts w:eastAsia="Times New Roman" w:cs="Arial"/>
          <w:bCs/>
          <w:iCs/>
          <w:lang w:val="en-US" w:eastAsia="da-DK"/>
        </w:rPr>
      </w:pPr>
      <w:r>
        <w:rPr>
          <w:rFonts w:eastAsia="Times New Roman" w:cs="Arial"/>
          <w:bCs/>
          <w:iCs/>
          <w:lang w:val="en-US" w:eastAsia="da-DK"/>
        </w:rPr>
        <w:t>Thanks – Asta Høy</w:t>
      </w:r>
    </w:p>
    <w:p w:rsidR="0027717F" w:rsidRDefault="0027717F" w:rsidP="0027717F">
      <w:pPr>
        <w:jc w:val="right"/>
        <w:rPr>
          <w:rFonts w:eastAsia="Times New Roman" w:cs="Arial"/>
          <w:bCs/>
          <w:iCs/>
          <w:lang w:val="en-US" w:eastAsia="da-DK"/>
        </w:rPr>
      </w:pPr>
      <w:r>
        <w:rPr>
          <w:rFonts w:eastAsia="Times New Roman" w:cs="Arial"/>
          <w:bCs/>
          <w:iCs/>
          <w:lang w:val="en-US" w:eastAsia="da-DK"/>
        </w:rPr>
        <w:t>2</w:t>
      </w:r>
      <w:r w:rsidR="00241DE8">
        <w:rPr>
          <w:rFonts w:eastAsia="Times New Roman" w:cs="Arial"/>
          <w:bCs/>
          <w:iCs/>
          <w:lang w:val="en-US" w:eastAsia="da-DK"/>
        </w:rPr>
        <w:t>7</w:t>
      </w:r>
      <w:r>
        <w:rPr>
          <w:rFonts w:eastAsia="Times New Roman" w:cs="Arial"/>
          <w:bCs/>
          <w:iCs/>
          <w:lang w:val="en-US" w:eastAsia="da-DK"/>
        </w:rPr>
        <w:t xml:space="preserve"> Oct. 2010</w:t>
      </w:r>
    </w:p>
    <w:p w:rsidR="0027717F" w:rsidRDefault="0027717F">
      <w:pPr>
        <w:rPr>
          <w:rFonts w:eastAsia="Times New Roman" w:cs="Arial"/>
          <w:bCs/>
          <w:iCs/>
          <w:lang w:val="en-US" w:eastAsia="da-DK"/>
        </w:rPr>
      </w:pPr>
      <w:r>
        <w:rPr>
          <w:rFonts w:eastAsia="Times New Roman" w:cs="Arial"/>
          <w:bCs/>
          <w:iCs/>
          <w:lang w:val="en-US" w:eastAsia="da-DK"/>
        </w:rPr>
        <w:br w:type="page"/>
      </w:r>
    </w:p>
    <w:p w:rsidR="0027717F" w:rsidRPr="00BC2244" w:rsidRDefault="0027717F" w:rsidP="0027717F">
      <w:pPr>
        <w:pStyle w:val="Rubrik2"/>
        <w:ind w:left="0" w:firstLine="0"/>
        <w:jc w:val="center"/>
        <w:rPr>
          <w:rFonts w:asciiTheme="minorHAnsi" w:hAnsiTheme="minorHAnsi"/>
          <w:b/>
          <w:color w:val="auto"/>
          <w:sz w:val="32"/>
          <w:szCs w:val="32"/>
        </w:rPr>
      </w:pPr>
      <w:r w:rsidRPr="00BC2244">
        <w:rPr>
          <w:rFonts w:asciiTheme="minorHAnsi" w:hAnsiTheme="minorHAnsi"/>
          <w:b/>
          <w:color w:val="auto"/>
          <w:sz w:val="32"/>
          <w:szCs w:val="32"/>
        </w:rPr>
        <w:lastRenderedPageBreak/>
        <w:t>T</w:t>
      </w:r>
      <w:r w:rsidR="00FD4A5C" w:rsidRPr="00BC2244">
        <w:rPr>
          <w:rFonts w:asciiTheme="minorHAnsi" w:hAnsiTheme="minorHAnsi"/>
          <w:b/>
          <w:color w:val="auto"/>
          <w:sz w:val="32"/>
          <w:szCs w:val="32"/>
        </w:rPr>
        <w:t>ext</w:t>
      </w:r>
      <w:r w:rsidRPr="00BC2244">
        <w:rPr>
          <w:rFonts w:asciiTheme="minorHAnsi" w:hAnsiTheme="minorHAnsi"/>
          <w:b/>
          <w:color w:val="auto"/>
          <w:sz w:val="32"/>
          <w:szCs w:val="32"/>
        </w:rPr>
        <w:t xml:space="preserve"> 1:</w:t>
      </w:r>
    </w:p>
    <w:p w:rsidR="00FD4A5C" w:rsidRPr="00BC2244" w:rsidRDefault="0027717F" w:rsidP="0027717F">
      <w:pPr>
        <w:pStyle w:val="Rubrik2"/>
        <w:ind w:left="0" w:firstLine="0"/>
        <w:jc w:val="center"/>
        <w:rPr>
          <w:rFonts w:asciiTheme="minorHAnsi" w:hAnsiTheme="minorHAnsi"/>
          <w:b/>
          <w:sz w:val="32"/>
          <w:szCs w:val="32"/>
        </w:rPr>
      </w:pPr>
      <w:r w:rsidRPr="00BC2244">
        <w:rPr>
          <w:rFonts w:asciiTheme="minorHAnsi" w:hAnsiTheme="minorHAnsi"/>
          <w:b/>
          <w:color w:val="auto"/>
          <w:sz w:val="32"/>
          <w:szCs w:val="32"/>
        </w:rPr>
        <w:t>Text</w:t>
      </w:r>
      <w:r w:rsidR="00FD4A5C" w:rsidRPr="00BC2244">
        <w:rPr>
          <w:rFonts w:asciiTheme="minorHAnsi" w:hAnsiTheme="minorHAnsi"/>
          <w:b/>
          <w:color w:val="auto"/>
          <w:sz w:val="32"/>
          <w:szCs w:val="32"/>
        </w:rPr>
        <w:t xml:space="preserve"> regarding Translation Gold Standard to be inserted in the Guidelines for Translation and the Guidelines fo</w:t>
      </w:r>
      <w:r w:rsidRPr="00BC2244">
        <w:rPr>
          <w:rFonts w:asciiTheme="minorHAnsi" w:hAnsiTheme="minorHAnsi"/>
          <w:b/>
          <w:color w:val="auto"/>
          <w:sz w:val="32"/>
          <w:szCs w:val="32"/>
        </w:rPr>
        <w:t>r Management of the Translation</w:t>
      </w:r>
    </w:p>
    <w:p w:rsidR="00FD4A5C" w:rsidRPr="0027717F" w:rsidRDefault="00FE3880" w:rsidP="00FE3880">
      <w:pPr>
        <w:pStyle w:val="Rubrik2"/>
        <w:ind w:left="0" w:firstLine="0"/>
        <w:rPr>
          <w:rFonts w:asciiTheme="minorHAnsi" w:hAnsiTheme="minorHAnsi"/>
          <w:i/>
          <w:color w:val="auto"/>
          <w:sz w:val="22"/>
          <w:szCs w:val="22"/>
          <w:lang w:val="en-US"/>
        </w:rPr>
      </w:pPr>
      <w:r w:rsidRPr="0027717F">
        <w:rPr>
          <w:rFonts w:asciiTheme="minorHAnsi" w:hAnsiTheme="minorHAnsi"/>
          <w:i/>
          <w:color w:val="auto"/>
          <w:sz w:val="22"/>
          <w:szCs w:val="22"/>
          <w:lang w:val="en-US"/>
        </w:rPr>
        <w:t>The text below could be inserted in the Guidelines for Translation as paragraph 1.1.1 and in the Guidelines for Management of Translation as paragraph 1.2.3:</w:t>
      </w:r>
    </w:p>
    <w:p w:rsidR="00FE3880" w:rsidRDefault="00FE3880" w:rsidP="00FE3880">
      <w:pPr>
        <w:rPr>
          <w:lang w:val="en-US" w:eastAsia="da-DK"/>
        </w:rPr>
      </w:pPr>
    </w:p>
    <w:bookmarkEnd w:id="0"/>
    <w:p w:rsidR="00FE3880" w:rsidRPr="0027717F" w:rsidRDefault="00FE3880" w:rsidP="00FE3880">
      <w:pPr>
        <w:rPr>
          <w:b/>
          <w:lang w:val="en-US" w:eastAsia="da-DK"/>
        </w:rPr>
      </w:pPr>
      <w:r w:rsidRPr="0027717F">
        <w:rPr>
          <w:b/>
          <w:lang w:val="en-US" w:eastAsia="da-DK"/>
        </w:rPr>
        <w:t>Translation Gold Standard</w:t>
      </w:r>
    </w:p>
    <w:p w:rsidR="00FE3880" w:rsidRPr="0027717F" w:rsidRDefault="00FE3880" w:rsidP="00FE3880">
      <w:pPr>
        <w:rPr>
          <w:lang w:val="en-US" w:eastAsia="da-DK"/>
        </w:rPr>
      </w:pPr>
      <w:r w:rsidRPr="0027717F">
        <w:rPr>
          <w:lang w:val="en-US" w:eastAsia="da-DK"/>
        </w:rPr>
        <w:t xml:space="preserve">Translation Project Owners (TPOs) should </w:t>
      </w:r>
      <w:r w:rsidR="00BC2244">
        <w:rPr>
          <w:lang w:val="en-US" w:eastAsia="da-DK"/>
        </w:rPr>
        <w:t xml:space="preserve">strive to </w:t>
      </w:r>
      <w:r w:rsidRPr="0027717F">
        <w:rPr>
          <w:lang w:val="en-US" w:eastAsia="da-DK"/>
        </w:rPr>
        <w:t>ensure that translations comply with the principles on which SNOMED CT® was originally based (comprehensibility, reproducibility, usefulness) and that the information contained in the translated concepts is equivalent to that contained in the core terminology. This set of requirements may be conceived as an IHTSDO Translation Gold Standard.</w:t>
      </w:r>
    </w:p>
    <w:p w:rsidR="00FE3880" w:rsidRPr="0027717F" w:rsidRDefault="00FE3880" w:rsidP="00FE3880">
      <w:pPr>
        <w:rPr>
          <w:lang w:val="en-US" w:eastAsia="da-DK"/>
        </w:rPr>
      </w:pPr>
      <w:r w:rsidRPr="0027717F">
        <w:rPr>
          <w:lang w:val="en-US" w:eastAsia="da-DK"/>
        </w:rPr>
        <w:t xml:space="preserve">The IHTSDO has drawn up a document describing how to proceed with a translation quality assessment in order to evaluate the level of compliance with this Gold Standard. In this document, “A methodology and toolkit for evaluating SNOMED CT® translation quality”, </w:t>
      </w:r>
      <w:r w:rsidR="00847DA6" w:rsidRPr="0027717F">
        <w:rPr>
          <w:lang w:val="en-GB" w:eastAsia="da-DK"/>
        </w:rPr>
        <w:t xml:space="preserve">a number of requirements are defined in the form of Quality Characteristics (QCs). There are three types of QCs: Structure QCs that relate </w:t>
      </w:r>
      <w:r w:rsidR="00BC2244" w:rsidRPr="00BC2244">
        <w:rPr>
          <w:lang w:val="en-US" w:eastAsia="da-DK"/>
        </w:rPr>
        <w:t xml:space="preserve">to the management &amp; </w:t>
      </w:r>
      <w:proofErr w:type="spellStart"/>
      <w:r w:rsidR="00BC2244" w:rsidRPr="00BC2244">
        <w:rPr>
          <w:lang w:val="en-US" w:eastAsia="da-DK"/>
        </w:rPr>
        <w:t>organisation</w:t>
      </w:r>
      <w:proofErr w:type="spellEnd"/>
      <w:r w:rsidR="00BC2244" w:rsidRPr="00BC2244">
        <w:rPr>
          <w:lang w:val="en-US" w:eastAsia="da-DK"/>
        </w:rPr>
        <w:t xml:space="preserve"> of the translation project</w:t>
      </w:r>
      <w:r w:rsidR="00847DA6" w:rsidRPr="0027717F">
        <w:rPr>
          <w:lang w:val="en-GB" w:eastAsia="da-DK"/>
        </w:rPr>
        <w:t xml:space="preserve">, process QCs that relate </w:t>
      </w:r>
      <w:r w:rsidR="00BC2244" w:rsidRPr="00BC2244">
        <w:rPr>
          <w:lang w:val="en-US" w:eastAsia="da-DK"/>
        </w:rPr>
        <w:t>to the activities taking place during the actual translation</w:t>
      </w:r>
      <w:r w:rsidR="00847DA6" w:rsidRPr="0027717F">
        <w:rPr>
          <w:lang w:val="en-GB" w:eastAsia="da-DK"/>
        </w:rPr>
        <w:t xml:space="preserve">, and Outcome QCs that relate </w:t>
      </w:r>
      <w:r w:rsidR="00BC2244" w:rsidRPr="00BC2244">
        <w:rPr>
          <w:lang w:val="en-US" w:eastAsia="da-DK"/>
        </w:rPr>
        <w:t>to the target language result of the translation</w:t>
      </w:r>
      <w:r w:rsidR="00847DA6" w:rsidRPr="0027717F">
        <w:rPr>
          <w:lang w:val="en-GB" w:eastAsia="da-DK"/>
        </w:rPr>
        <w:t>.</w:t>
      </w:r>
      <w:r w:rsidRPr="0027717F">
        <w:rPr>
          <w:lang w:val="en-US" w:eastAsia="da-DK"/>
        </w:rPr>
        <w:t xml:space="preserve"> For each QC, there is a description of the corresponding quality metrics (what and how to measure, how to evaluate, etc.).</w:t>
      </w:r>
    </w:p>
    <w:p w:rsidR="00847DA6" w:rsidRPr="0027717F" w:rsidRDefault="00FE3880" w:rsidP="00FE3880">
      <w:pPr>
        <w:rPr>
          <w:lang w:val="en-US" w:eastAsia="da-DK"/>
        </w:rPr>
      </w:pPr>
      <w:r w:rsidRPr="0027717F">
        <w:rPr>
          <w:lang w:val="en-US" w:eastAsia="da-DK"/>
        </w:rPr>
        <w:t xml:space="preserve">It is recommended that the TPOs use the Translation Gold Standard Checklist at the back of the Guidelines for Translation. </w:t>
      </w:r>
      <w:r w:rsidR="00BC2244">
        <w:rPr>
          <w:lang w:val="en-US" w:eastAsia="da-DK"/>
        </w:rPr>
        <w:t>Certain items of t</w:t>
      </w:r>
      <w:r w:rsidRPr="0027717F">
        <w:rPr>
          <w:lang w:val="en-US" w:eastAsia="da-DK"/>
        </w:rPr>
        <w:t>his checklist could also be formulated as contractual clause</w:t>
      </w:r>
      <w:r w:rsidR="00BC2244">
        <w:rPr>
          <w:lang w:val="en-US" w:eastAsia="da-DK"/>
        </w:rPr>
        <w:t>s</w:t>
      </w:r>
      <w:r w:rsidRPr="0027717F">
        <w:rPr>
          <w:lang w:val="en-US" w:eastAsia="da-DK"/>
        </w:rPr>
        <w:t xml:space="preserve"> in connection with the agreement between a TPO and a Translation Service Provider (TSP).</w:t>
      </w:r>
    </w:p>
    <w:p w:rsidR="00847DA6" w:rsidRPr="0027717F" w:rsidRDefault="00847DA6">
      <w:pPr>
        <w:rPr>
          <w:lang w:val="en-US" w:eastAsia="da-DK"/>
        </w:rPr>
      </w:pPr>
      <w:r w:rsidRPr="0027717F">
        <w:rPr>
          <w:lang w:val="en-US" w:eastAsia="da-DK"/>
        </w:rPr>
        <w:br w:type="page"/>
      </w:r>
    </w:p>
    <w:p w:rsidR="0027717F" w:rsidRPr="00BC2244" w:rsidRDefault="0027717F" w:rsidP="00847DA6">
      <w:pPr>
        <w:jc w:val="center"/>
        <w:rPr>
          <w:b/>
          <w:sz w:val="32"/>
          <w:szCs w:val="32"/>
          <w:lang w:val="en-US"/>
        </w:rPr>
      </w:pPr>
      <w:r w:rsidRPr="00BC2244">
        <w:rPr>
          <w:b/>
          <w:sz w:val="32"/>
          <w:szCs w:val="32"/>
          <w:lang w:val="en-US"/>
        </w:rPr>
        <w:lastRenderedPageBreak/>
        <w:t>Text 2:</w:t>
      </w:r>
    </w:p>
    <w:p w:rsidR="00847DA6" w:rsidRPr="00BC2244" w:rsidRDefault="00847DA6" w:rsidP="00847DA6">
      <w:pPr>
        <w:jc w:val="center"/>
        <w:rPr>
          <w:b/>
          <w:sz w:val="32"/>
          <w:szCs w:val="32"/>
          <w:lang w:val="en-US"/>
        </w:rPr>
      </w:pPr>
      <w:r w:rsidRPr="00BC2244">
        <w:rPr>
          <w:b/>
          <w:sz w:val="32"/>
          <w:szCs w:val="32"/>
          <w:lang w:val="en-US"/>
        </w:rPr>
        <w:t>Translation Gold Standard checklist</w:t>
      </w:r>
    </w:p>
    <w:p w:rsidR="00847DA6" w:rsidRDefault="00847DA6" w:rsidP="00847DA6">
      <w:pPr>
        <w:rPr>
          <w:lang w:val="en-US"/>
        </w:rPr>
      </w:pPr>
      <w:r>
        <w:rPr>
          <w:lang w:val="en-US"/>
        </w:rPr>
        <w:t>This checklist</w:t>
      </w:r>
    </w:p>
    <w:p w:rsidR="00847DA6" w:rsidRPr="00C717AA" w:rsidRDefault="00847DA6" w:rsidP="00847DA6">
      <w:pPr>
        <w:pStyle w:val="Liststycke"/>
        <w:numPr>
          <w:ilvl w:val="0"/>
          <w:numId w:val="1"/>
        </w:numPr>
        <w:rPr>
          <w:lang w:val="en-US"/>
        </w:rPr>
      </w:pPr>
      <w:r w:rsidRPr="00C717AA">
        <w:rPr>
          <w:lang w:val="en-US"/>
        </w:rPr>
        <w:t>provides an overview of the quality characteristics and the relevant texts in the Guidelines</w:t>
      </w:r>
    </w:p>
    <w:p w:rsidR="00847DA6" w:rsidRDefault="00847DA6" w:rsidP="00847DA6">
      <w:pPr>
        <w:pStyle w:val="Liststycke"/>
        <w:numPr>
          <w:ilvl w:val="0"/>
          <w:numId w:val="1"/>
        </w:numPr>
        <w:rPr>
          <w:lang w:val="en-US"/>
        </w:rPr>
      </w:pPr>
      <w:proofErr w:type="gramStart"/>
      <w:r w:rsidRPr="00417DEF">
        <w:rPr>
          <w:lang w:val="en-US"/>
        </w:rPr>
        <w:t>allows</w:t>
      </w:r>
      <w:proofErr w:type="gramEnd"/>
      <w:r w:rsidRPr="00417DEF">
        <w:rPr>
          <w:lang w:val="en-US"/>
        </w:rPr>
        <w:t xml:space="preserve"> the TPO to keep track of the degree of compliance with the Gold Standard.</w:t>
      </w:r>
    </w:p>
    <w:p w:rsidR="00BC2244" w:rsidRDefault="00847DA6" w:rsidP="00847DA6">
      <w:pPr>
        <w:rPr>
          <w:lang w:val="en-US" w:eastAsia="da-DK"/>
        </w:rPr>
      </w:pPr>
      <w:r>
        <w:rPr>
          <w:lang w:val="en-US"/>
        </w:rPr>
        <w:t>F</w:t>
      </w:r>
      <w:r w:rsidRPr="00F33D65">
        <w:rPr>
          <w:lang w:val="en-US"/>
        </w:rPr>
        <w:t xml:space="preserve">or </w:t>
      </w:r>
      <w:r>
        <w:rPr>
          <w:lang w:val="en-US"/>
        </w:rPr>
        <w:t>further information</w:t>
      </w:r>
      <w:r w:rsidRPr="00F33D65">
        <w:rPr>
          <w:lang w:val="en-US"/>
        </w:rPr>
        <w:t xml:space="preserve">, please refer to the </w:t>
      </w:r>
      <w:r w:rsidR="00D51DDC">
        <w:rPr>
          <w:lang w:val="en-US"/>
        </w:rPr>
        <w:t xml:space="preserve">paragraph </w:t>
      </w:r>
      <w:r w:rsidR="00D67181">
        <w:rPr>
          <w:lang w:val="en-US"/>
        </w:rPr>
        <w:t>“</w:t>
      </w:r>
      <w:r w:rsidR="00D51DDC">
        <w:rPr>
          <w:lang w:val="en-US"/>
        </w:rPr>
        <w:t>Translation Gold Standard</w:t>
      </w:r>
      <w:r w:rsidR="00D67181">
        <w:rPr>
          <w:lang w:val="en-US"/>
        </w:rPr>
        <w:t>”</w:t>
      </w:r>
      <w:r w:rsidRPr="00F33D65">
        <w:rPr>
          <w:lang w:val="en-US"/>
        </w:rPr>
        <w:t xml:space="preserve"> </w:t>
      </w:r>
      <w:r w:rsidR="00D51DDC">
        <w:rPr>
          <w:lang w:val="en-US"/>
        </w:rPr>
        <w:t>(</w:t>
      </w:r>
      <w:r w:rsidR="00B07A2B">
        <w:rPr>
          <w:lang w:val="en-US"/>
        </w:rPr>
        <w:t>1.2.3</w:t>
      </w:r>
      <w:r w:rsidR="00D51DDC">
        <w:rPr>
          <w:lang w:val="en-US"/>
        </w:rPr>
        <w:t xml:space="preserve"> in the Guidelines for Management of Translation and </w:t>
      </w:r>
      <w:r w:rsidR="00D67181">
        <w:rPr>
          <w:lang w:val="en-US"/>
        </w:rPr>
        <w:t>1.</w:t>
      </w:r>
      <w:r w:rsidR="00B07A2B">
        <w:rPr>
          <w:lang w:val="en-US"/>
        </w:rPr>
        <w:t>1</w:t>
      </w:r>
      <w:r w:rsidR="00D67181">
        <w:rPr>
          <w:lang w:val="en-US"/>
        </w:rPr>
        <w:t>.</w:t>
      </w:r>
      <w:r w:rsidR="00B07A2B">
        <w:rPr>
          <w:lang w:val="en-US"/>
        </w:rPr>
        <w:t>1</w:t>
      </w:r>
      <w:r w:rsidR="00D51DDC">
        <w:rPr>
          <w:lang w:val="en-US"/>
        </w:rPr>
        <w:t xml:space="preserve"> in the Guidelines for Translation)</w:t>
      </w:r>
      <w:r>
        <w:rPr>
          <w:lang w:val="en-US"/>
        </w:rPr>
        <w:t xml:space="preserve"> and the IHTSDO document </w:t>
      </w:r>
      <w:r w:rsidRPr="00FE3880">
        <w:rPr>
          <w:lang w:val="en-US" w:eastAsia="da-DK"/>
        </w:rPr>
        <w:t>“A methodology and toolkit for evaluating SNOMED CT® translation quality”</w:t>
      </w:r>
      <w:r>
        <w:rPr>
          <w:lang w:val="en-US" w:eastAsia="da-DK"/>
        </w:rPr>
        <w:t xml:space="preserve"> (referred to as QC Toolkit in the table below).</w:t>
      </w:r>
    </w:p>
    <w:p w:rsidR="00847DA6" w:rsidRDefault="00847DA6" w:rsidP="00847DA6">
      <w:pPr>
        <w:rPr>
          <w:lang w:val="en-US"/>
        </w:rPr>
      </w:pPr>
      <w:r>
        <w:rPr>
          <w:lang w:val="en-US"/>
        </w:rPr>
        <w:t xml:space="preserve">Those quality characteristics marked in </w:t>
      </w:r>
      <w:r>
        <w:rPr>
          <w:b/>
          <w:i/>
          <w:lang w:val="en-US"/>
        </w:rPr>
        <w:t>bold italic</w:t>
      </w:r>
      <w:r>
        <w:rPr>
          <w:lang w:val="en-US"/>
        </w:rPr>
        <w:t xml:space="preserve"> may be considered mandatory for any translation of SNOMED CT.</w:t>
      </w:r>
    </w:p>
    <w:tbl>
      <w:tblPr>
        <w:tblStyle w:val="Tabellrutnt"/>
        <w:tblW w:w="0" w:type="auto"/>
        <w:tblLayout w:type="fixed"/>
        <w:tblLook w:val="04A0"/>
      </w:tblPr>
      <w:tblGrid>
        <w:gridCol w:w="1101"/>
        <w:gridCol w:w="2976"/>
        <w:gridCol w:w="2835"/>
        <w:gridCol w:w="2942"/>
      </w:tblGrid>
      <w:tr w:rsidR="00847DA6" w:rsidRPr="00241DE8" w:rsidTr="00847DA6">
        <w:tc>
          <w:tcPr>
            <w:tcW w:w="1101" w:type="dxa"/>
            <w:vMerge w:val="restart"/>
            <w:shd w:val="clear" w:color="auto" w:fill="95B3D7" w:themeFill="accent1" w:themeFillTint="99"/>
          </w:tcPr>
          <w:p w:rsidR="00847DA6" w:rsidRPr="0074122F" w:rsidRDefault="00847DA6" w:rsidP="00E87BFD">
            <w:pPr>
              <w:rPr>
                <w:b/>
                <w:lang w:val="en-GB"/>
              </w:rPr>
            </w:pPr>
            <w:r w:rsidRPr="0074122F">
              <w:rPr>
                <w:b/>
                <w:lang w:val="en-GB"/>
              </w:rPr>
              <w:t>Requirements</w:t>
            </w:r>
          </w:p>
          <w:p w:rsidR="00847DA6" w:rsidRDefault="00847DA6" w:rsidP="00E87BFD">
            <w:pPr>
              <w:rPr>
                <w:b/>
                <w:lang w:val="en-GB"/>
              </w:rPr>
            </w:pPr>
            <w:r w:rsidRPr="0074122F">
              <w:rPr>
                <w:b/>
                <w:lang w:val="en-GB"/>
              </w:rPr>
              <w:t>outlined in QA Toolkit fulfilled</w:t>
            </w:r>
          </w:p>
          <w:p w:rsidR="00847DA6" w:rsidRPr="0074122F" w:rsidRDefault="00847DA6" w:rsidP="00E87BFD">
            <w:pPr>
              <w:rPr>
                <w:b/>
                <w:lang w:val="en-GB"/>
              </w:rPr>
            </w:pPr>
            <w:r>
              <w:rPr>
                <w:b/>
                <w:lang w:val="en-GB"/>
              </w:rPr>
              <w:t>(if yes add √)</w:t>
            </w:r>
          </w:p>
        </w:tc>
        <w:tc>
          <w:tcPr>
            <w:tcW w:w="2976" w:type="dxa"/>
            <w:vMerge w:val="restart"/>
            <w:shd w:val="clear" w:color="auto" w:fill="95B3D7" w:themeFill="accent1" w:themeFillTint="99"/>
          </w:tcPr>
          <w:p w:rsidR="00847DA6" w:rsidRDefault="00847DA6" w:rsidP="00E87BFD">
            <w:pPr>
              <w:rPr>
                <w:b/>
                <w:lang w:val="en-GB"/>
              </w:rPr>
            </w:pPr>
            <w:r w:rsidRPr="0074122F">
              <w:rPr>
                <w:b/>
                <w:lang w:val="en-GB"/>
              </w:rPr>
              <w:t>Quality Characteristic</w:t>
            </w:r>
            <w:r>
              <w:rPr>
                <w:b/>
                <w:lang w:val="en-GB"/>
              </w:rPr>
              <w:t xml:space="preserve"> (QC)</w:t>
            </w:r>
          </w:p>
          <w:p w:rsidR="00847DA6" w:rsidRPr="00743640" w:rsidRDefault="00847DA6" w:rsidP="00E87BFD">
            <w:pPr>
              <w:rPr>
                <w:lang w:val="en-GB"/>
              </w:rPr>
            </w:pPr>
            <w:r w:rsidRPr="00743640">
              <w:rPr>
                <w:lang w:val="en-GB"/>
              </w:rPr>
              <w:t>S = Structure QC</w:t>
            </w:r>
          </w:p>
          <w:p w:rsidR="00847DA6" w:rsidRPr="00743640" w:rsidRDefault="00847DA6" w:rsidP="00E87BFD">
            <w:pPr>
              <w:rPr>
                <w:lang w:val="en-GB"/>
              </w:rPr>
            </w:pPr>
            <w:r w:rsidRPr="00743640">
              <w:rPr>
                <w:lang w:val="en-GB"/>
              </w:rPr>
              <w:t>P = Process QC</w:t>
            </w:r>
          </w:p>
          <w:p w:rsidR="00847DA6" w:rsidRPr="0074122F" w:rsidRDefault="00847DA6" w:rsidP="00E87BFD">
            <w:pPr>
              <w:rPr>
                <w:b/>
                <w:lang w:val="en-GB"/>
              </w:rPr>
            </w:pPr>
            <w:r w:rsidRPr="00743640">
              <w:rPr>
                <w:lang w:val="en-GB"/>
              </w:rPr>
              <w:t>O = Outcome QC</w:t>
            </w:r>
          </w:p>
        </w:tc>
        <w:tc>
          <w:tcPr>
            <w:tcW w:w="5777" w:type="dxa"/>
            <w:gridSpan w:val="2"/>
            <w:shd w:val="clear" w:color="auto" w:fill="95B3D7" w:themeFill="accent1" w:themeFillTint="99"/>
          </w:tcPr>
          <w:p w:rsidR="00847DA6" w:rsidRPr="000A52BA" w:rsidRDefault="00847DA6" w:rsidP="00E87BFD">
            <w:pPr>
              <w:rPr>
                <w:lang w:val="en-GB"/>
              </w:rPr>
            </w:pPr>
            <w:r>
              <w:rPr>
                <w:b/>
                <w:lang w:val="en-GB"/>
              </w:rPr>
              <w:t>For description of topic related to the QC, refer to the following chapters/paragraphs:</w:t>
            </w:r>
          </w:p>
        </w:tc>
      </w:tr>
      <w:tr w:rsidR="00847DA6" w:rsidRPr="000A52BA" w:rsidTr="00847DA6">
        <w:tc>
          <w:tcPr>
            <w:tcW w:w="1101" w:type="dxa"/>
            <w:vMerge/>
            <w:shd w:val="clear" w:color="auto" w:fill="95B3D7" w:themeFill="accent1" w:themeFillTint="99"/>
          </w:tcPr>
          <w:p w:rsidR="00847DA6" w:rsidRPr="000A52BA" w:rsidRDefault="00847DA6" w:rsidP="00E87BFD">
            <w:pPr>
              <w:rPr>
                <w:lang w:val="en-GB"/>
              </w:rPr>
            </w:pPr>
          </w:p>
        </w:tc>
        <w:tc>
          <w:tcPr>
            <w:tcW w:w="2976" w:type="dxa"/>
            <w:vMerge/>
            <w:shd w:val="clear" w:color="auto" w:fill="95B3D7" w:themeFill="accent1" w:themeFillTint="99"/>
          </w:tcPr>
          <w:p w:rsidR="00847DA6" w:rsidRPr="000A52BA" w:rsidRDefault="00847DA6" w:rsidP="00E87BFD">
            <w:pPr>
              <w:rPr>
                <w:lang w:val="en-GB"/>
              </w:rPr>
            </w:pPr>
          </w:p>
        </w:tc>
        <w:tc>
          <w:tcPr>
            <w:tcW w:w="2835" w:type="dxa"/>
            <w:shd w:val="clear" w:color="auto" w:fill="95B3D7" w:themeFill="accent1" w:themeFillTint="99"/>
          </w:tcPr>
          <w:p w:rsidR="00847DA6" w:rsidRPr="000A52BA" w:rsidRDefault="00847DA6" w:rsidP="00E87BFD">
            <w:pPr>
              <w:rPr>
                <w:lang w:val="en-GB"/>
              </w:rPr>
            </w:pPr>
            <w:r>
              <w:rPr>
                <w:b/>
                <w:lang w:val="en-GB"/>
              </w:rPr>
              <w:t>Guidelines for Management of Translation</w:t>
            </w:r>
          </w:p>
        </w:tc>
        <w:tc>
          <w:tcPr>
            <w:tcW w:w="2942" w:type="dxa"/>
            <w:shd w:val="clear" w:color="auto" w:fill="95B3D7" w:themeFill="accent1" w:themeFillTint="99"/>
          </w:tcPr>
          <w:p w:rsidR="00847DA6" w:rsidRPr="000A52BA" w:rsidRDefault="00847DA6" w:rsidP="00E87BFD">
            <w:pPr>
              <w:rPr>
                <w:lang w:val="en-GB"/>
              </w:rPr>
            </w:pPr>
            <w:r>
              <w:rPr>
                <w:b/>
                <w:lang w:val="en-GB"/>
              </w:rPr>
              <w:t>Guidelines for Translation</w:t>
            </w:r>
          </w:p>
        </w:tc>
      </w:tr>
      <w:tr w:rsidR="00847DA6" w:rsidRPr="000A52BA" w:rsidTr="00847DA6">
        <w:tc>
          <w:tcPr>
            <w:tcW w:w="1101" w:type="dxa"/>
          </w:tcPr>
          <w:p w:rsidR="00847DA6" w:rsidRPr="000A52BA" w:rsidRDefault="00847DA6" w:rsidP="00E87BFD">
            <w:pPr>
              <w:rPr>
                <w:lang w:val="en-GB"/>
              </w:rPr>
            </w:pPr>
          </w:p>
        </w:tc>
        <w:tc>
          <w:tcPr>
            <w:tcW w:w="2976" w:type="dxa"/>
          </w:tcPr>
          <w:p w:rsidR="00847DA6" w:rsidRPr="000A52BA" w:rsidRDefault="00847DA6" w:rsidP="00E87BFD">
            <w:pPr>
              <w:rPr>
                <w:lang w:val="en-US"/>
              </w:rPr>
            </w:pPr>
            <w:r w:rsidRPr="000A52BA">
              <w:rPr>
                <w:lang w:val="en-GB"/>
              </w:rPr>
              <w:t>Translation process participants’ competences</w:t>
            </w:r>
            <w:r>
              <w:rPr>
                <w:lang w:val="en-GB"/>
              </w:rPr>
              <w:t xml:space="preserve"> (S)</w:t>
            </w:r>
          </w:p>
        </w:tc>
        <w:tc>
          <w:tcPr>
            <w:tcW w:w="2835" w:type="dxa"/>
          </w:tcPr>
          <w:p w:rsidR="00847DA6" w:rsidRPr="000A52BA" w:rsidRDefault="00847DA6" w:rsidP="00E87BFD">
            <w:pPr>
              <w:rPr>
                <w:lang w:val="en-GB"/>
              </w:rPr>
            </w:pPr>
            <w:r w:rsidRPr="00C717AA">
              <w:rPr>
                <w:lang w:val="en-GB"/>
              </w:rPr>
              <w:t>4.1. Translation</w:t>
            </w:r>
          </w:p>
        </w:tc>
        <w:tc>
          <w:tcPr>
            <w:tcW w:w="2942" w:type="dxa"/>
          </w:tcPr>
          <w:p w:rsidR="00847DA6" w:rsidRPr="000A52BA" w:rsidRDefault="00847DA6" w:rsidP="00E87BFD">
            <w:pPr>
              <w:rPr>
                <w:lang w:val="en-GB"/>
              </w:rPr>
            </w:pPr>
          </w:p>
        </w:tc>
      </w:tr>
      <w:tr w:rsidR="00847DA6" w:rsidRPr="00241DE8" w:rsidTr="00847DA6">
        <w:tc>
          <w:tcPr>
            <w:tcW w:w="1101" w:type="dxa"/>
          </w:tcPr>
          <w:p w:rsidR="00847DA6" w:rsidRPr="000A52BA" w:rsidRDefault="00847DA6" w:rsidP="00E87BFD">
            <w:pPr>
              <w:rPr>
                <w:lang w:val="en-GB"/>
              </w:rPr>
            </w:pPr>
          </w:p>
        </w:tc>
        <w:tc>
          <w:tcPr>
            <w:tcW w:w="2976" w:type="dxa"/>
          </w:tcPr>
          <w:p w:rsidR="00847DA6" w:rsidRPr="000A52BA" w:rsidRDefault="00847DA6" w:rsidP="00E87BFD">
            <w:pPr>
              <w:rPr>
                <w:lang w:val="en-US"/>
              </w:rPr>
            </w:pPr>
            <w:r w:rsidRPr="000A52BA">
              <w:rPr>
                <w:lang w:val="en-GB"/>
              </w:rPr>
              <w:t>Access to translation software</w:t>
            </w:r>
            <w:r>
              <w:rPr>
                <w:lang w:val="en-GB"/>
              </w:rPr>
              <w:t xml:space="preserve"> (S)</w:t>
            </w:r>
          </w:p>
        </w:tc>
        <w:tc>
          <w:tcPr>
            <w:tcW w:w="2835" w:type="dxa"/>
          </w:tcPr>
          <w:p w:rsidR="00847DA6" w:rsidRPr="00C717AA" w:rsidRDefault="00847DA6" w:rsidP="00E87BFD">
            <w:pPr>
              <w:rPr>
                <w:lang w:val="en-US"/>
              </w:rPr>
            </w:pPr>
            <w:r w:rsidRPr="00C717AA">
              <w:rPr>
                <w:lang w:val="en-US"/>
              </w:rPr>
              <w:t>2.3 Establishing an underlying supportive technical infrastructure</w:t>
            </w:r>
          </w:p>
        </w:tc>
        <w:tc>
          <w:tcPr>
            <w:tcW w:w="2942" w:type="dxa"/>
          </w:tcPr>
          <w:p w:rsidR="00847DA6" w:rsidRPr="000A52BA" w:rsidRDefault="00847DA6" w:rsidP="00E87BFD">
            <w:pPr>
              <w:rPr>
                <w:lang w:val="en-GB"/>
              </w:rPr>
            </w:pPr>
          </w:p>
        </w:tc>
      </w:tr>
      <w:tr w:rsidR="00847DA6" w:rsidRPr="000A52BA" w:rsidTr="00847DA6">
        <w:tc>
          <w:tcPr>
            <w:tcW w:w="1101" w:type="dxa"/>
          </w:tcPr>
          <w:p w:rsidR="00847DA6" w:rsidRPr="000A52BA" w:rsidRDefault="00847DA6" w:rsidP="00E87BFD">
            <w:pPr>
              <w:rPr>
                <w:lang w:val="en-GB"/>
              </w:rPr>
            </w:pPr>
          </w:p>
        </w:tc>
        <w:tc>
          <w:tcPr>
            <w:tcW w:w="2976" w:type="dxa"/>
          </w:tcPr>
          <w:p w:rsidR="00847DA6" w:rsidRPr="00384989" w:rsidRDefault="00847DA6" w:rsidP="00E87BFD">
            <w:pPr>
              <w:rPr>
                <w:b/>
                <w:i/>
                <w:lang w:val="en-US"/>
              </w:rPr>
            </w:pPr>
            <w:r w:rsidRPr="00384989">
              <w:rPr>
                <w:b/>
                <w:i/>
                <w:lang w:val="en-GB"/>
              </w:rPr>
              <w:t>Content of linguistic guidelines in target language</w:t>
            </w:r>
            <w:r w:rsidRPr="00384989">
              <w:rPr>
                <w:b/>
                <w:i/>
                <w:lang w:val="en-US"/>
              </w:rPr>
              <w:t xml:space="preserve"> </w:t>
            </w:r>
            <w:r>
              <w:rPr>
                <w:b/>
                <w:i/>
                <w:lang w:val="en-US"/>
              </w:rPr>
              <w:t>(S)</w:t>
            </w:r>
          </w:p>
        </w:tc>
        <w:tc>
          <w:tcPr>
            <w:tcW w:w="2835" w:type="dxa"/>
          </w:tcPr>
          <w:p w:rsidR="00847DA6" w:rsidRPr="000A52BA" w:rsidRDefault="00847DA6" w:rsidP="00E87BFD">
            <w:pPr>
              <w:rPr>
                <w:lang w:val="en-GB"/>
              </w:rPr>
            </w:pPr>
            <w:r w:rsidRPr="00C717AA">
              <w:rPr>
                <w:lang w:val="en-GB"/>
              </w:rPr>
              <w:t>2.4 Establishing linguistic guidelines</w:t>
            </w:r>
          </w:p>
        </w:tc>
        <w:tc>
          <w:tcPr>
            <w:tcW w:w="2942" w:type="dxa"/>
          </w:tcPr>
          <w:p w:rsidR="00847DA6" w:rsidRDefault="00847DA6" w:rsidP="00E87BFD">
            <w:pPr>
              <w:rPr>
                <w:lang w:val="en-US"/>
              </w:rPr>
            </w:pPr>
            <w:r w:rsidRPr="00C717AA">
              <w:rPr>
                <w:lang w:val="en-US"/>
              </w:rPr>
              <w:t>1.1 Purpose and scope of this document</w:t>
            </w:r>
            <w:r>
              <w:rPr>
                <w:lang w:val="en-US"/>
              </w:rPr>
              <w:t>;</w:t>
            </w:r>
          </w:p>
          <w:p w:rsidR="00847DA6" w:rsidRPr="00C717AA" w:rsidRDefault="00847DA6" w:rsidP="00E87BFD">
            <w:pPr>
              <w:rPr>
                <w:lang w:val="en-US"/>
              </w:rPr>
            </w:pPr>
            <w:r>
              <w:rPr>
                <w:lang w:val="en-US"/>
              </w:rPr>
              <w:t>6.3. Editing</w:t>
            </w:r>
          </w:p>
        </w:tc>
      </w:tr>
      <w:tr w:rsidR="00847DA6" w:rsidRPr="00241DE8" w:rsidTr="00847DA6">
        <w:tc>
          <w:tcPr>
            <w:tcW w:w="1101" w:type="dxa"/>
          </w:tcPr>
          <w:p w:rsidR="00847DA6" w:rsidRPr="000A52BA" w:rsidRDefault="00847DA6" w:rsidP="00E87BFD">
            <w:pPr>
              <w:rPr>
                <w:lang w:val="en-GB"/>
              </w:rPr>
            </w:pPr>
          </w:p>
        </w:tc>
        <w:tc>
          <w:tcPr>
            <w:tcW w:w="2976" w:type="dxa"/>
          </w:tcPr>
          <w:p w:rsidR="00847DA6" w:rsidRPr="00C717AA" w:rsidRDefault="00847DA6" w:rsidP="00E87BFD">
            <w:pPr>
              <w:rPr>
                <w:b/>
                <w:i/>
                <w:lang w:val="en-US"/>
              </w:rPr>
            </w:pPr>
            <w:r w:rsidRPr="00C717AA">
              <w:rPr>
                <w:b/>
                <w:i/>
                <w:lang w:val="en-GB"/>
              </w:rPr>
              <w:t>Concept based translation</w:t>
            </w:r>
            <w:r>
              <w:rPr>
                <w:b/>
                <w:i/>
                <w:lang w:val="en-GB"/>
              </w:rPr>
              <w:t xml:space="preserve"> (P)</w:t>
            </w:r>
          </w:p>
        </w:tc>
        <w:tc>
          <w:tcPr>
            <w:tcW w:w="2835" w:type="dxa"/>
          </w:tcPr>
          <w:p w:rsidR="00847DA6" w:rsidRDefault="00847DA6" w:rsidP="00E87BFD">
            <w:pPr>
              <w:rPr>
                <w:lang w:val="en-GB"/>
              </w:rPr>
            </w:pPr>
            <w:r w:rsidRPr="0065515E">
              <w:rPr>
                <w:lang w:val="en-GB"/>
              </w:rPr>
              <w:t>1 Introduction</w:t>
            </w:r>
            <w:r>
              <w:rPr>
                <w:lang w:val="en-GB"/>
              </w:rPr>
              <w:t>;</w:t>
            </w:r>
          </w:p>
          <w:p w:rsidR="00847DA6" w:rsidRPr="000A52BA" w:rsidRDefault="00847DA6" w:rsidP="00E87BFD">
            <w:pPr>
              <w:rPr>
                <w:lang w:val="en-GB"/>
              </w:rPr>
            </w:pPr>
            <w:r w:rsidRPr="0065515E">
              <w:rPr>
                <w:lang w:val="en-GB"/>
              </w:rPr>
              <w:t>2.2.2 Establishing the translation process</w:t>
            </w:r>
          </w:p>
        </w:tc>
        <w:tc>
          <w:tcPr>
            <w:tcW w:w="2942" w:type="dxa"/>
          </w:tcPr>
          <w:p w:rsidR="00847DA6" w:rsidRPr="000A52BA" w:rsidRDefault="00847DA6" w:rsidP="00E87BFD">
            <w:pPr>
              <w:rPr>
                <w:lang w:val="en-GB"/>
              </w:rPr>
            </w:pPr>
            <w:r w:rsidRPr="0065515E">
              <w:rPr>
                <w:lang w:val="en-GB"/>
              </w:rPr>
              <w:t>4.1.1 The principle of concept based translation: a key issue!</w:t>
            </w:r>
          </w:p>
        </w:tc>
      </w:tr>
      <w:tr w:rsidR="00847DA6" w:rsidRPr="000A52BA" w:rsidTr="00847DA6">
        <w:tc>
          <w:tcPr>
            <w:tcW w:w="1101" w:type="dxa"/>
          </w:tcPr>
          <w:p w:rsidR="00847DA6" w:rsidRPr="000A52BA" w:rsidRDefault="00847DA6" w:rsidP="00E87BFD">
            <w:pPr>
              <w:rPr>
                <w:lang w:val="en-US"/>
              </w:rPr>
            </w:pPr>
          </w:p>
        </w:tc>
        <w:tc>
          <w:tcPr>
            <w:tcW w:w="2976" w:type="dxa"/>
          </w:tcPr>
          <w:p w:rsidR="00847DA6" w:rsidRPr="000A52BA" w:rsidRDefault="00847DA6" w:rsidP="00E87BFD">
            <w:pPr>
              <w:rPr>
                <w:lang w:val="en-US"/>
              </w:rPr>
            </w:pPr>
            <w:r w:rsidRPr="000A52BA">
              <w:rPr>
                <w:lang w:val="en-US"/>
              </w:rPr>
              <w:t>Continuous co-operation between TPO and TSP</w:t>
            </w:r>
            <w:r>
              <w:rPr>
                <w:lang w:val="en-US"/>
              </w:rPr>
              <w:t xml:space="preserve"> (P)</w:t>
            </w:r>
          </w:p>
        </w:tc>
        <w:tc>
          <w:tcPr>
            <w:tcW w:w="2835" w:type="dxa"/>
          </w:tcPr>
          <w:p w:rsidR="00847DA6" w:rsidRPr="000A52BA" w:rsidRDefault="00847DA6" w:rsidP="00E87BFD">
            <w:pPr>
              <w:rPr>
                <w:lang w:val="en-US"/>
              </w:rPr>
            </w:pPr>
            <w:r w:rsidRPr="0065515E">
              <w:rPr>
                <w:lang w:val="en-US"/>
              </w:rPr>
              <w:t>2.8 Risk management</w:t>
            </w:r>
          </w:p>
        </w:tc>
        <w:tc>
          <w:tcPr>
            <w:tcW w:w="2942" w:type="dxa"/>
          </w:tcPr>
          <w:p w:rsidR="00847DA6" w:rsidRPr="000A52BA" w:rsidRDefault="00847DA6" w:rsidP="00E87BFD">
            <w:pPr>
              <w:rPr>
                <w:lang w:val="en-US"/>
              </w:rPr>
            </w:pPr>
          </w:p>
        </w:tc>
      </w:tr>
      <w:tr w:rsidR="00847DA6" w:rsidRPr="000A52BA" w:rsidTr="00847DA6">
        <w:tc>
          <w:tcPr>
            <w:tcW w:w="1101" w:type="dxa"/>
          </w:tcPr>
          <w:p w:rsidR="00847DA6" w:rsidRPr="000A52BA" w:rsidRDefault="00847DA6" w:rsidP="00E87BFD">
            <w:pPr>
              <w:rPr>
                <w:lang w:val="en-GB"/>
              </w:rPr>
            </w:pPr>
          </w:p>
        </w:tc>
        <w:tc>
          <w:tcPr>
            <w:tcW w:w="2976" w:type="dxa"/>
          </w:tcPr>
          <w:p w:rsidR="00847DA6" w:rsidRPr="000A52BA" w:rsidRDefault="00847DA6" w:rsidP="00E87BFD">
            <w:pPr>
              <w:rPr>
                <w:lang w:val="en-GB"/>
              </w:rPr>
            </w:pPr>
            <w:r w:rsidRPr="000A52BA">
              <w:rPr>
                <w:lang w:val="en-GB"/>
              </w:rPr>
              <w:t>Translation reviews</w:t>
            </w:r>
            <w:r>
              <w:rPr>
                <w:lang w:val="en-GB"/>
              </w:rPr>
              <w:t xml:space="preserve"> (P)</w:t>
            </w:r>
          </w:p>
        </w:tc>
        <w:tc>
          <w:tcPr>
            <w:tcW w:w="2835" w:type="dxa"/>
          </w:tcPr>
          <w:p w:rsidR="00847DA6" w:rsidRPr="000A52BA" w:rsidRDefault="00847DA6" w:rsidP="00E87BFD">
            <w:pPr>
              <w:rPr>
                <w:lang w:val="en-GB"/>
              </w:rPr>
            </w:pPr>
            <w:r w:rsidRPr="0065515E">
              <w:rPr>
                <w:lang w:val="en-GB"/>
              </w:rPr>
              <w:t>4.2 Translation review</w:t>
            </w:r>
          </w:p>
        </w:tc>
        <w:tc>
          <w:tcPr>
            <w:tcW w:w="2942" w:type="dxa"/>
          </w:tcPr>
          <w:p w:rsidR="00847DA6" w:rsidRPr="000A52BA" w:rsidRDefault="00847DA6" w:rsidP="00E87BFD">
            <w:pPr>
              <w:rPr>
                <w:lang w:val="en-GB"/>
              </w:rPr>
            </w:pPr>
            <w:r>
              <w:rPr>
                <w:lang w:val="en-GB"/>
              </w:rPr>
              <w:t>6.2 Review</w:t>
            </w:r>
          </w:p>
        </w:tc>
      </w:tr>
      <w:tr w:rsidR="00847DA6" w:rsidRPr="00241DE8" w:rsidTr="00847DA6">
        <w:tc>
          <w:tcPr>
            <w:tcW w:w="1101" w:type="dxa"/>
          </w:tcPr>
          <w:p w:rsidR="00847DA6" w:rsidRPr="000A52BA" w:rsidRDefault="00847DA6" w:rsidP="00E87BFD">
            <w:pPr>
              <w:rPr>
                <w:lang w:val="en-GB"/>
              </w:rPr>
            </w:pPr>
          </w:p>
        </w:tc>
        <w:tc>
          <w:tcPr>
            <w:tcW w:w="2976" w:type="dxa"/>
          </w:tcPr>
          <w:p w:rsidR="00847DA6" w:rsidRPr="00384989" w:rsidRDefault="00847DA6" w:rsidP="00E87BFD">
            <w:pPr>
              <w:rPr>
                <w:b/>
                <w:i/>
                <w:lang w:val="en-US"/>
              </w:rPr>
            </w:pPr>
            <w:r w:rsidRPr="00384989">
              <w:rPr>
                <w:b/>
                <w:i/>
                <w:lang w:val="en-GB"/>
              </w:rPr>
              <w:t xml:space="preserve">Clinical acceptability </w:t>
            </w:r>
            <w:r>
              <w:rPr>
                <w:b/>
                <w:i/>
                <w:lang w:val="en-GB"/>
              </w:rPr>
              <w:t>(O)</w:t>
            </w:r>
          </w:p>
        </w:tc>
        <w:tc>
          <w:tcPr>
            <w:tcW w:w="2835" w:type="dxa"/>
          </w:tcPr>
          <w:p w:rsidR="00847DA6" w:rsidRPr="000A52BA" w:rsidRDefault="00847DA6" w:rsidP="00E87BFD">
            <w:pPr>
              <w:rPr>
                <w:lang w:val="en-GB"/>
              </w:rPr>
            </w:pPr>
            <w:r>
              <w:rPr>
                <w:lang w:val="en-GB"/>
              </w:rPr>
              <w:t>2.1 The challenge</w:t>
            </w:r>
          </w:p>
        </w:tc>
        <w:tc>
          <w:tcPr>
            <w:tcW w:w="2942" w:type="dxa"/>
          </w:tcPr>
          <w:p w:rsidR="00847DA6" w:rsidRDefault="00847DA6" w:rsidP="00E87BFD">
            <w:pPr>
              <w:rPr>
                <w:lang w:val="en-GB"/>
              </w:rPr>
            </w:pPr>
            <w:r w:rsidRPr="0065515E">
              <w:rPr>
                <w:lang w:val="en-GB"/>
              </w:rPr>
              <w:t>4 Translating SNOMED CT®</w:t>
            </w:r>
            <w:r>
              <w:rPr>
                <w:lang w:val="en-GB"/>
              </w:rPr>
              <w:t>;</w:t>
            </w:r>
          </w:p>
          <w:p w:rsidR="00847DA6" w:rsidRPr="0065515E" w:rsidRDefault="00847DA6" w:rsidP="00E87BFD">
            <w:pPr>
              <w:rPr>
                <w:lang w:val="en-US"/>
              </w:rPr>
            </w:pPr>
            <w:r w:rsidRPr="0065515E">
              <w:rPr>
                <w:lang w:val="en-US"/>
              </w:rPr>
              <w:t>4.2.2 Selecting the best term for the concept</w:t>
            </w:r>
          </w:p>
        </w:tc>
      </w:tr>
      <w:tr w:rsidR="00847DA6" w:rsidRPr="000A52BA" w:rsidTr="00847DA6">
        <w:tc>
          <w:tcPr>
            <w:tcW w:w="1101" w:type="dxa"/>
          </w:tcPr>
          <w:p w:rsidR="00847DA6" w:rsidRPr="000A52BA" w:rsidRDefault="00847DA6" w:rsidP="00E87BFD">
            <w:pPr>
              <w:rPr>
                <w:lang w:val="en-US"/>
              </w:rPr>
            </w:pPr>
          </w:p>
        </w:tc>
        <w:tc>
          <w:tcPr>
            <w:tcW w:w="2976" w:type="dxa"/>
          </w:tcPr>
          <w:p w:rsidR="00847DA6" w:rsidRPr="00384989" w:rsidRDefault="00847DA6" w:rsidP="00E87BFD">
            <w:pPr>
              <w:rPr>
                <w:b/>
                <w:i/>
                <w:lang w:val="en-US"/>
              </w:rPr>
            </w:pPr>
            <w:r w:rsidRPr="00384989">
              <w:rPr>
                <w:b/>
                <w:i/>
                <w:lang w:val="en-US"/>
              </w:rPr>
              <w:t>Compliance with translation guidelines</w:t>
            </w:r>
            <w:r>
              <w:rPr>
                <w:b/>
                <w:i/>
                <w:lang w:val="en-US"/>
              </w:rPr>
              <w:t xml:space="preserve"> (O)</w:t>
            </w:r>
          </w:p>
        </w:tc>
        <w:tc>
          <w:tcPr>
            <w:tcW w:w="2835" w:type="dxa"/>
          </w:tcPr>
          <w:p w:rsidR="00847DA6" w:rsidRPr="000A52BA" w:rsidRDefault="00847DA6" w:rsidP="00E87BFD">
            <w:pPr>
              <w:rPr>
                <w:lang w:val="en-US"/>
              </w:rPr>
            </w:pPr>
            <w:r w:rsidRPr="0065515E">
              <w:rPr>
                <w:lang w:val="en-US"/>
              </w:rPr>
              <w:t>2.4 Establishing linguistic guidelines</w:t>
            </w:r>
          </w:p>
        </w:tc>
        <w:tc>
          <w:tcPr>
            <w:tcW w:w="2942" w:type="dxa"/>
          </w:tcPr>
          <w:p w:rsidR="00847DA6" w:rsidRDefault="00847DA6" w:rsidP="00E87BFD">
            <w:pPr>
              <w:rPr>
                <w:lang w:val="en-US"/>
              </w:rPr>
            </w:pPr>
            <w:r w:rsidRPr="0065515E">
              <w:rPr>
                <w:lang w:val="en-US"/>
              </w:rPr>
              <w:t>4.2.2 Selecting the best term for the concept</w:t>
            </w:r>
            <w:r>
              <w:rPr>
                <w:lang w:val="en-US"/>
              </w:rPr>
              <w:t>;</w:t>
            </w:r>
          </w:p>
          <w:p w:rsidR="00847DA6" w:rsidRPr="000A52BA" w:rsidRDefault="00847DA6" w:rsidP="00E87BFD">
            <w:pPr>
              <w:rPr>
                <w:lang w:val="en-US"/>
              </w:rPr>
            </w:pPr>
            <w:r w:rsidRPr="0065515E">
              <w:rPr>
                <w:lang w:val="en-US"/>
              </w:rPr>
              <w:t>6.2 Review</w:t>
            </w:r>
          </w:p>
        </w:tc>
      </w:tr>
      <w:tr w:rsidR="00847DA6" w:rsidRPr="00241DE8" w:rsidTr="00847DA6">
        <w:tc>
          <w:tcPr>
            <w:tcW w:w="1101" w:type="dxa"/>
          </w:tcPr>
          <w:p w:rsidR="00847DA6" w:rsidRPr="00DD078D" w:rsidRDefault="00847DA6" w:rsidP="00E87BFD">
            <w:pPr>
              <w:rPr>
                <w:color w:val="808080" w:themeColor="background1" w:themeShade="80"/>
                <w:lang w:val="en-US"/>
              </w:rPr>
            </w:pPr>
          </w:p>
        </w:tc>
        <w:tc>
          <w:tcPr>
            <w:tcW w:w="2976" w:type="dxa"/>
          </w:tcPr>
          <w:p w:rsidR="00847DA6" w:rsidRPr="00DD078D" w:rsidRDefault="00847DA6" w:rsidP="00E87BFD">
            <w:pPr>
              <w:rPr>
                <w:color w:val="808080" w:themeColor="background1" w:themeShade="80"/>
                <w:lang w:val="en-US"/>
              </w:rPr>
            </w:pPr>
            <w:r w:rsidRPr="00DD078D">
              <w:rPr>
                <w:color w:val="808080" w:themeColor="background1" w:themeShade="80"/>
                <w:lang w:val="en-US"/>
              </w:rPr>
              <w:t>Number of changes over a series of releases (O)</w:t>
            </w:r>
            <w:r w:rsidR="00DD078D" w:rsidRPr="00DD078D">
              <w:rPr>
                <w:color w:val="808080" w:themeColor="background1" w:themeShade="80"/>
                <w:lang w:val="en-US"/>
              </w:rPr>
              <w:t>*</w:t>
            </w:r>
          </w:p>
        </w:tc>
        <w:tc>
          <w:tcPr>
            <w:tcW w:w="2835" w:type="dxa"/>
          </w:tcPr>
          <w:p w:rsidR="00847DA6" w:rsidRPr="00DD078D" w:rsidRDefault="00847DA6" w:rsidP="00E87BFD">
            <w:pPr>
              <w:rPr>
                <w:color w:val="808080" w:themeColor="background1" w:themeShade="80"/>
                <w:lang w:val="en-US"/>
              </w:rPr>
            </w:pPr>
          </w:p>
        </w:tc>
        <w:tc>
          <w:tcPr>
            <w:tcW w:w="2942" w:type="dxa"/>
          </w:tcPr>
          <w:p w:rsidR="00847DA6" w:rsidRPr="00DD078D" w:rsidRDefault="00847DA6" w:rsidP="00E87BFD">
            <w:pPr>
              <w:rPr>
                <w:color w:val="808080" w:themeColor="background1" w:themeShade="80"/>
                <w:lang w:val="en-US"/>
              </w:rPr>
            </w:pPr>
          </w:p>
        </w:tc>
      </w:tr>
      <w:tr w:rsidR="00847DA6" w:rsidTr="00847DA6">
        <w:tc>
          <w:tcPr>
            <w:tcW w:w="1101" w:type="dxa"/>
          </w:tcPr>
          <w:p w:rsidR="00847DA6" w:rsidRPr="000A52BA" w:rsidRDefault="00847DA6" w:rsidP="00E87BFD">
            <w:pPr>
              <w:rPr>
                <w:lang w:val="en-US"/>
              </w:rPr>
            </w:pPr>
          </w:p>
        </w:tc>
        <w:tc>
          <w:tcPr>
            <w:tcW w:w="2976" w:type="dxa"/>
          </w:tcPr>
          <w:p w:rsidR="00847DA6" w:rsidRPr="00C717AA" w:rsidRDefault="00847DA6" w:rsidP="00E87BFD">
            <w:pPr>
              <w:rPr>
                <w:b/>
                <w:i/>
                <w:lang w:val="en-US"/>
              </w:rPr>
            </w:pPr>
            <w:r w:rsidRPr="00C717AA">
              <w:rPr>
                <w:b/>
                <w:i/>
                <w:lang w:val="en-US"/>
              </w:rPr>
              <w:t>Term equivalence</w:t>
            </w:r>
            <w:r>
              <w:rPr>
                <w:b/>
                <w:i/>
                <w:lang w:val="en-US"/>
              </w:rPr>
              <w:t xml:space="preserve"> (O)</w:t>
            </w:r>
          </w:p>
        </w:tc>
        <w:tc>
          <w:tcPr>
            <w:tcW w:w="2835" w:type="dxa"/>
          </w:tcPr>
          <w:p w:rsidR="00847DA6" w:rsidRPr="000A52BA" w:rsidRDefault="00847DA6" w:rsidP="00E87BFD">
            <w:pPr>
              <w:rPr>
                <w:lang w:val="en-US"/>
              </w:rPr>
            </w:pPr>
          </w:p>
        </w:tc>
        <w:tc>
          <w:tcPr>
            <w:tcW w:w="2942" w:type="dxa"/>
          </w:tcPr>
          <w:p w:rsidR="00847DA6" w:rsidRDefault="00847DA6" w:rsidP="00E87BFD">
            <w:pPr>
              <w:rPr>
                <w:lang w:val="en-US"/>
              </w:rPr>
            </w:pPr>
            <w:r w:rsidRPr="0065515E">
              <w:rPr>
                <w:lang w:val="en-US"/>
              </w:rPr>
              <w:t>4. Translating SNOMED CT®</w:t>
            </w:r>
            <w:r>
              <w:rPr>
                <w:lang w:val="en-US"/>
              </w:rPr>
              <w:t>;</w:t>
            </w:r>
          </w:p>
          <w:p w:rsidR="00847DA6" w:rsidRPr="000A52BA" w:rsidRDefault="00847DA6" w:rsidP="00E87BFD">
            <w:pPr>
              <w:rPr>
                <w:lang w:val="en-US"/>
              </w:rPr>
            </w:pPr>
            <w:r w:rsidRPr="0065515E">
              <w:rPr>
                <w:lang w:val="en-US"/>
              </w:rPr>
              <w:t>4.2.3.2 False Friends</w:t>
            </w:r>
          </w:p>
        </w:tc>
      </w:tr>
    </w:tbl>
    <w:p w:rsidR="00FE3880" w:rsidRPr="00FE3880" w:rsidRDefault="00DD078D" w:rsidP="00FE3880">
      <w:pPr>
        <w:rPr>
          <w:lang w:val="en-US"/>
        </w:rPr>
      </w:pPr>
      <w:r>
        <w:rPr>
          <w:lang w:val="en-US"/>
        </w:rPr>
        <w:t>*At the meeting of the Translation Quality Assurance Project Group on 18</w:t>
      </w:r>
      <w:r w:rsidRPr="00DD078D">
        <w:rPr>
          <w:vertAlign w:val="superscript"/>
          <w:lang w:val="en-US"/>
        </w:rPr>
        <w:t>th</w:t>
      </w:r>
      <w:r>
        <w:rPr>
          <w:lang w:val="en-US"/>
        </w:rPr>
        <w:t xml:space="preserve"> October, it was decided to eliminate this QC. </w:t>
      </w:r>
    </w:p>
    <w:sectPr w:rsidR="00FE3880" w:rsidRPr="00FE3880" w:rsidSect="00BC224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401433"/>
    <w:multiLevelType w:val="multilevel"/>
    <w:tmpl w:val="47BE9FE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4BC75855"/>
    <w:multiLevelType w:val="hybridMultilevel"/>
    <w:tmpl w:val="2982E7F4"/>
    <w:lvl w:ilvl="0" w:tplc="F3103448">
      <w:start w:val="1"/>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6E7424FA"/>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1304"/>
  <w:hyphenationZone w:val="425"/>
  <w:characterSpacingControl w:val="doNotCompress"/>
  <w:compat/>
  <w:rsids>
    <w:rsidRoot w:val="00455DF4"/>
    <w:rsid w:val="00074FFB"/>
    <w:rsid w:val="00096C26"/>
    <w:rsid w:val="00166A6F"/>
    <w:rsid w:val="00191803"/>
    <w:rsid w:val="001937B7"/>
    <w:rsid w:val="00213EE8"/>
    <w:rsid w:val="00241DE8"/>
    <w:rsid w:val="0027717F"/>
    <w:rsid w:val="002E40EB"/>
    <w:rsid w:val="003223CC"/>
    <w:rsid w:val="003A1429"/>
    <w:rsid w:val="00455DF4"/>
    <w:rsid w:val="005003AE"/>
    <w:rsid w:val="005D7EA6"/>
    <w:rsid w:val="00643CC8"/>
    <w:rsid w:val="006A1623"/>
    <w:rsid w:val="007A3E81"/>
    <w:rsid w:val="00847DA6"/>
    <w:rsid w:val="009463B1"/>
    <w:rsid w:val="009818C0"/>
    <w:rsid w:val="0099128C"/>
    <w:rsid w:val="00B07A2B"/>
    <w:rsid w:val="00B45D6C"/>
    <w:rsid w:val="00BC2244"/>
    <w:rsid w:val="00C60B12"/>
    <w:rsid w:val="00D51DDC"/>
    <w:rsid w:val="00D67181"/>
    <w:rsid w:val="00DD078D"/>
    <w:rsid w:val="00E369D6"/>
    <w:rsid w:val="00FD1913"/>
    <w:rsid w:val="00FD4A5C"/>
    <w:rsid w:val="00FE3880"/>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DF4"/>
  </w:style>
  <w:style w:type="paragraph" w:styleId="Rubrik2">
    <w:name w:val="heading 2"/>
    <w:basedOn w:val="Normal"/>
    <w:next w:val="Normal"/>
    <w:link w:val="Rubrik2Char"/>
    <w:uiPriority w:val="99"/>
    <w:qFormat/>
    <w:rsid w:val="00455DF4"/>
    <w:pPr>
      <w:keepNext/>
      <w:spacing w:before="300" w:after="60" w:line="300" w:lineRule="atLeast"/>
      <w:ind w:left="578" w:hanging="578"/>
      <w:outlineLvl w:val="1"/>
    </w:pPr>
    <w:rPr>
      <w:rFonts w:ascii="Arial" w:eastAsia="Times New Roman" w:hAnsi="Arial" w:cs="Arial"/>
      <w:bCs/>
      <w:iCs/>
      <w:color w:val="1F2B7C"/>
      <w:sz w:val="30"/>
      <w:szCs w:val="28"/>
      <w:lang w:val="en-GB" w:eastAsia="da-DK"/>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455DF4"/>
    <w:pPr>
      <w:ind w:left="720"/>
      <w:contextualSpacing/>
    </w:pPr>
  </w:style>
  <w:style w:type="character" w:customStyle="1" w:styleId="Rubrik2Char">
    <w:name w:val="Rubrik 2 Char"/>
    <w:basedOn w:val="Standardstycketeckensnitt"/>
    <w:link w:val="Rubrik2"/>
    <w:uiPriority w:val="99"/>
    <w:rsid w:val="00455DF4"/>
    <w:rPr>
      <w:rFonts w:ascii="Arial" w:eastAsia="Times New Roman" w:hAnsi="Arial" w:cs="Arial"/>
      <w:bCs/>
      <w:iCs/>
      <w:color w:val="1F2B7C"/>
      <w:sz w:val="30"/>
      <w:szCs w:val="28"/>
      <w:lang w:val="en-GB" w:eastAsia="da-DK"/>
    </w:rPr>
  </w:style>
  <w:style w:type="paragraph" w:styleId="Normalwebb">
    <w:name w:val="Normal (Web)"/>
    <w:basedOn w:val="Normal"/>
    <w:uiPriority w:val="99"/>
    <w:semiHidden/>
    <w:unhideWhenUsed/>
    <w:rsid w:val="00E369D6"/>
    <w:pPr>
      <w:spacing w:before="100" w:beforeAutospacing="1" w:after="100" w:afterAutospacing="1" w:line="240" w:lineRule="auto"/>
    </w:pPr>
    <w:rPr>
      <w:rFonts w:ascii="Times New Roman" w:eastAsia="Times New Roman" w:hAnsi="Times New Roman" w:cs="Times New Roman"/>
      <w:sz w:val="24"/>
      <w:szCs w:val="24"/>
      <w:lang w:eastAsia="da-DK"/>
    </w:rPr>
  </w:style>
  <w:style w:type="table" w:styleId="Tabellrutnt">
    <w:name w:val="Table Grid"/>
    <w:basedOn w:val="Normaltabell"/>
    <w:uiPriority w:val="59"/>
    <w:rsid w:val="00847D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2882680">
      <w:bodyDiv w:val="1"/>
      <w:marLeft w:val="0"/>
      <w:marRight w:val="0"/>
      <w:marTop w:val="0"/>
      <w:marBottom w:val="0"/>
      <w:divBdr>
        <w:top w:val="none" w:sz="0" w:space="0" w:color="auto"/>
        <w:left w:val="none" w:sz="0" w:space="0" w:color="auto"/>
        <w:bottom w:val="none" w:sz="0" w:space="0" w:color="auto"/>
        <w:right w:val="none" w:sz="0" w:space="0" w:color="auto"/>
      </w:divBdr>
    </w:div>
    <w:div w:id="283771680">
      <w:bodyDiv w:val="1"/>
      <w:marLeft w:val="0"/>
      <w:marRight w:val="0"/>
      <w:marTop w:val="0"/>
      <w:marBottom w:val="0"/>
      <w:divBdr>
        <w:top w:val="none" w:sz="0" w:space="0" w:color="auto"/>
        <w:left w:val="none" w:sz="0" w:space="0" w:color="auto"/>
        <w:bottom w:val="none" w:sz="0" w:space="0" w:color="auto"/>
        <w:right w:val="none" w:sz="0" w:space="0" w:color="auto"/>
      </w:divBdr>
    </w:div>
    <w:div w:id="954747401">
      <w:bodyDiv w:val="1"/>
      <w:marLeft w:val="0"/>
      <w:marRight w:val="0"/>
      <w:marTop w:val="0"/>
      <w:marBottom w:val="0"/>
      <w:divBdr>
        <w:top w:val="none" w:sz="0" w:space="0" w:color="auto"/>
        <w:left w:val="none" w:sz="0" w:space="0" w:color="auto"/>
        <w:bottom w:val="none" w:sz="0" w:space="0" w:color="auto"/>
        <w:right w:val="none" w:sz="0" w:space="0" w:color="auto"/>
      </w:divBdr>
    </w:div>
    <w:div w:id="1680237157">
      <w:bodyDiv w:val="1"/>
      <w:marLeft w:val="0"/>
      <w:marRight w:val="0"/>
      <w:marTop w:val="0"/>
      <w:marBottom w:val="0"/>
      <w:divBdr>
        <w:top w:val="none" w:sz="0" w:space="0" w:color="auto"/>
        <w:left w:val="none" w:sz="0" w:space="0" w:color="auto"/>
        <w:bottom w:val="none" w:sz="0" w:space="0" w:color="auto"/>
        <w:right w:val="none" w:sz="0" w:space="0" w:color="auto"/>
      </w:divBdr>
    </w:div>
    <w:div w:id="175212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1004</Words>
  <Characters>5323</Characters>
  <Application>Microsoft Office Word</Application>
  <DocSecurity>4</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Bruger</dc:creator>
  <cp:lastModifiedBy>kahlz</cp:lastModifiedBy>
  <cp:revision>2</cp:revision>
  <cp:lastPrinted>2010-10-20T12:52:00Z</cp:lastPrinted>
  <dcterms:created xsi:type="dcterms:W3CDTF">2011-10-06T09:47:00Z</dcterms:created>
  <dcterms:modified xsi:type="dcterms:W3CDTF">2011-10-06T09:47:00Z</dcterms:modified>
</cp:coreProperties>
</file>